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378B" w14:textId="7883F1D8" w:rsidR="00816ACF" w:rsidRPr="00BE2215" w:rsidRDefault="00E06894">
      <w:pPr>
        <w:rPr>
          <w:rFonts w:ascii="Arial" w:hAnsi="Arial" w:cs="Arial"/>
          <w:b/>
          <w:sz w:val="28"/>
          <w:szCs w:val="28"/>
        </w:rPr>
      </w:pPr>
      <w:bookmarkStart w:id="0" w:name="_GoBack"/>
      <w:bookmarkEnd w:id="0"/>
      <w:r w:rsidRPr="00BE2215">
        <w:rPr>
          <w:rFonts w:ascii="Arial" w:hAnsi="Arial" w:cs="Arial"/>
          <w:b/>
          <w:sz w:val="28"/>
          <w:szCs w:val="28"/>
        </w:rPr>
        <w:t>Anhang I</w:t>
      </w:r>
      <w:r w:rsidR="00B11592" w:rsidRPr="00BE2215">
        <w:rPr>
          <w:rFonts w:ascii="Arial" w:hAnsi="Arial" w:cs="Arial"/>
          <w:b/>
          <w:sz w:val="28"/>
          <w:szCs w:val="28"/>
        </w:rPr>
        <w:t>V b</w:t>
      </w:r>
    </w:p>
    <w:p w14:paraId="3B55AD08" w14:textId="113D7D66" w:rsidR="00695935" w:rsidRPr="00BE2215" w:rsidRDefault="00816ACF">
      <w:pPr>
        <w:rPr>
          <w:rFonts w:ascii="Arial" w:hAnsi="Arial" w:cs="Arial"/>
          <w:b/>
          <w:sz w:val="28"/>
          <w:szCs w:val="28"/>
        </w:rPr>
      </w:pPr>
      <w:r w:rsidRPr="00BE2215">
        <w:rPr>
          <w:rFonts w:ascii="Arial" w:hAnsi="Arial" w:cs="Arial"/>
          <w:sz w:val="28"/>
          <w:szCs w:val="28"/>
        </w:rPr>
        <w:t xml:space="preserve">Informationen zur Eingewöhnung nach dem </w:t>
      </w:r>
      <w:r w:rsidR="00767C0B" w:rsidRPr="00BE2215">
        <w:rPr>
          <w:rFonts w:ascii="Arial" w:hAnsi="Arial" w:cs="Arial"/>
          <w:b/>
          <w:sz w:val="28"/>
          <w:szCs w:val="28"/>
        </w:rPr>
        <w:t>Münchener</w:t>
      </w:r>
      <w:r w:rsidRPr="00BE2215">
        <w:rPr>
          <w:rFonts w:ascii="Arial" w:hAnsi="Arial" w:cs="Arial"/>
          <w:b/>
          <w:sz w:val="28"/>
          <w:szCs w:val="28"/>
        </w:rPr>
        <w:t xml:space="preserve"> Modell</w:t>
      </w:r>
    </w:p>
    <w:p w14:paraId="78D7336E" w14:textId="77777777" w:rsidR="00816ACF" w:rsidRDefault="00816ACF">
      <w:pPr>
        <w:rPr>
          <w:rFonts w:ascii="Arial" w:hAnsi="Arial" w:cs="Arial"/>
          <w:b/>
          <w:sz w:val="32"/>
          <w:szCs w:val="32"/>
        </w:rPr>
      </w:pPr>
    </w:p>
    <w:p w14:paraId="20679156" w14:textId="485FA375" w:rsidR="00767C0B" w:rsidRPr="00BE2215" w:rsidRDefault="00767C0B" w:rsidP="00767C0B">
      <w:pPr>
        <w:rPr>
          <w:rFonts w:ascii="Arial" w:hAnsi="Arial" w:cs="Arial"/>
          <w:sz w:val="20"/>
          <w:szCs w:val="20"/>
        </w:rPr>
      </w:pPr>
      <w:r w:rsidRPr="00BE2215">
        <w:rPr>
          <w:rFonts w:ascii="Arial" w:hAnsi="Arial" w:cs="Arial"/>
          <w:sz w:val="20"/>
          <w:szCs w:val="20"/>
        </w:rPr>
        <w:t xml:space="preserve">Beim Übergang in eine Kindertagespflegestelle muss es dem Kind ermöglicht werden, langsam eine stabile Beziehung zur Kindertagespflegeperson aufzubauen, da eine hohe Anpassungsleistung vom Kind gefordert wird. </w:t>
      </w:r>
    </w:p>
    <w:p w14:paraId="403F6596" w14:textId="05485DAF" w:rsidR="00767C0B" w:rsidRPr="00BE2215" w:rsidRDefault="00767C0B" w:rsidP="00767C0B">
      <w:pPr>
        <w:rPr>
          <w:rFonts w:ascii="Arial" w:hAnsi="Arial" w:cs="Arial"/>
          <w:sz w:val="20"/>
          <w:szCs w:val="20"/>
        </w:rPr>
      </w:pPr>
      <w:r w:rsidRPr="00BE2215">
        <w:rPr>
          <w:rFonts w:ascii="Arial" w:hAnsi="Arial" w:cs="Arial"/>
          <w:sz w:val="20"/>
          <w:szCs w:val="20"/>
        </w:rPr>
        <w:t xml:space="preserve">Das Münchener Eingewöhnungsmodell beruht auf den Erfahrungen eines wissenschaftlichen Projektes in München (1987 bis 1991) und wurde in den darauffolgenden Jahren in Theorie und Praxis weiterentwickelt (Winner/Erndt-Doll 2013). </w:t>
      </w:r>
    </w:p>
    <w:p w14:paraId="5B29010F" w14:textId="0264FC6C" w:rsidR="00767C0B" w:rsidRPr="00BE2215" w:rsidRDefault="00767C0B" w:rsidP="00767C0B">
      <w:pPr>
        <w:rPr>
          <w:rFonts w:ascii="Arial" w:hAnsi="Arial" w:cs="Arial"/>
          <w:sz w:val="20"/>
          <w:szCs w:val="20"/>
        </w:rPr>
      </w:pPr>
      <w:r w:rsidRPr="00BE2215">
        <w:rPr>
          <w:rFonts w:ascii="Arial" w:hAnsi="Arial" w:cs="Arial"/>
          <w:sz w:val="20"/>
          <w:szCs w:val="20"/>
        </w:rPr>
        <w:t xml:space="preserve">Die Eingewöhnung nach dem Münchener Modell dauert i.d.R. ca. 4 Wochen, in denen die Kindertagespflegeperson gewöhnlich mehrere Stunden täglich besucht wird, um sie mit ihren Routinen und Abläufen kennenzulernen. </w:t>
      </w:r>
    </w:p>
    <w:p w14:paraId="7194A1DD" w14:textId="77777777" w:rsidR="0028518E" w:rsidRDefault="00767C0B" w:rsidP="00767C0B">
      <w:pPr>
        <w:rPr>
          <w:rFonts w:ascii="Arial" w:hAnsi="Arial" w:cs="Arial"/>
          <w:sz w:val="20"/>
          <w:szCs w:val="20"/>
        </w:rPr>
      </w:pPr>
      <w:r w:rsidRPr="00BE2215">
        <w:rPr>
          <w:rFonts w:ascii="Arial" w:hAnsi="Arial" w:cs="Arial"/>
          <w:sz w:val="20"/>
          <w:szCs w:val="20"/>
        </w:rPr>
        <w:t xml:space="preserve">Es ermöglicht den Kindertagespflegepersonen, den Kindern und ihren Bezugspersonen, eine gute Eingewöhnungszeit zu gestalten und geht davon aus, dass das Kind verschiedenste Abläufe (Ankommen, Frühstück, Mittagessen, Schlafenszeit etc.) wiederholt beobachten muss, um diese zu verstehen. </w:t>
      </w:r>
    </w:p>
    <w:p w14:paraId="5A8AC017" w14:textId="77777777" w:rsidR="0028518E" w:rsidRDefault="0028518E" w:rsidP="00767C0B">
      <w:pPr>
        <w:rPr>
          <w:rFonts w:ascii="Arial" w:hAnsi="Arial" w:cs="Arial"/>
          <w:sz w:val="20"/>
          <w:szCs w:val="20"/>
        </w:rPr>
      </w:pPr>
    </w:p>
    <w:p w14:paraId="4F1A86EC" w14:textId="6E12992A" w:rsidR="00767C0B" w:rsidRPr="00BE2215" w:rsidRDefault="00767C0B" w:rsidP="00767C0B">
      <w:pPr>
        <w:rPr>
          <w:rFonts w:ascii="Arial" w:hAnsi="Arial" w:cs="Arial"/>
          <w:sz w:val="20"/>
          <w:szCs w:val="20"/>
        </w:rPr>
      </w:pPr>
      <w:r w:rsidRPr="00BE2215">
        <w:rPr>
          <w:rFonts w:ascii="Arial" w:hAnsi="Arial" w:cs="Arial"/>
          <w:sz w:val="20"/>
          <w:szCs w:val="20"/>
        </w:rPr>
        <w:t>Das Modell besteht aus drei Kernphasen:</w:t>
      </w:r>
    </w:p>
    <w:p w14:paraId="5695CE8C" w14:textId="77777777" w:rsidR="00767C0B" w:rsidRPr="00BE2215" w:rsidRDefault="00767C0B" w:rsidP="00767C0B">
      <w:pPr>
        <w:rPr>
          <w:rFonts w:ascii="Arial" w:hAnsi="Arial" w:cs="Arial"/>
          <w:sz w:val="20"/>
          <w:szCs w:val="20"/>
        </w:rPr>
      </w:pPr>
    </w:p>
    <w:p w14:paraId="47B6E9D8" w14:textId="67D69CF0" w:rsidR="00767C0B" w:rsidRPr="00BE2215" w:rsidRDefault="00767C0B" w:rsidP="00BE2215">
      <w:pPr>
        <w:rPr>
          <w:rFonts w:ascii="Arial" w:hAnsi="Arial" w:cs="Arial"/>
          <w:b/>
          <w:sz w:val="20"/>
          <w:szCs w:val="20"/>
        </w:rPr>
      </w:pPr>
      <w:r w:rsidRPr="00BE2215">
        <w:rPr>
          <w:rFonts w:ascii="Arial" w:hAnsi="Arial" w:cs="Arial"/>
          <w:b/>
          <w:sz w:val="20"/>
          <w:szCs w:val="20"/>
        </w:rPr>
        <w:t>Kenn</w:t>
      </w:r>
      <w:r w:rsidR="00C22C48">
        <w:rPr>
          <w:rFonts w:ascii="Arial" w:hAnsi="Arial" w:cs="Arial"/>
          <w:b/>
          <w:sz w:val="20"/>
          <w:szCs w:val="20"/>
        </w:rPr>
        <w:t>en</w:t>
      </w:r>
      <w:r w:rsidRPr="00BE2215">
        <w:rPr>
          <w:rFonts w:ascii="Arial" w:hAnsi="Arial" w:cs="Arial"/>
          <w:b/>
          <w:sz w:val="20"/>
          <w:szCs w:val="20"/>
        </w:rPr>
        <w:t>lernphase</w:t>
      </w:r>
    </w:p>
    <w:p w14:paraId="4530E8E1" w14:textId="77777777" w:rsidR="00643D8B" w:rsidRPr="00BE2215" w:rsidRDefault="00643D8B" w:rsidP="00643D8B">
      <w:pPr>
        <w:ind w:firstLine="360"/>
        <w:rPr>
          <w:rFonts w:ascii="Arial" w:hAnsi="Arial" w:cs="Arial"/>
          <w:b/>
          <w:sz w:val="20"/>
          <w:szCs w:val="20"/>
        </w:rPr>
      </w:pPr>
    </w:p>
    <w:p w14:paraId="4F35E2B4" w14:textId="1C16D232"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Die Kenn</w:t>
      </w:r>
      <w:r w:rsidR="00C22C48">
        <w:rPr>
          <w:rFonts w:ascii="Arial" w:hAnsi="Arial" w:cs="Arial"/>
          <w:sz w:val="20"/>
          <w:szCs w:val="20"/>
        </w:rPr>
        <w:t>en</w:t>
      </w:r>
      <w:r w:rsidRPr="00BE2215">
        <w:rPr>
          <w:rFonts w:ascii="Arial" w:hAnsi="Arial" w:cs="Arial"/>
          <w:sz w:val="20"/>
          <w:szCs w:val="20"/>
        </w:rPr>
        <w:t>lernphase dauert ca. 1 Woche.</w:t>
      </w:r>
    </w:p>
    <w:p w14:paraId="6146E80F" w14:textId="23A5F6F1"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Eine Bezugsperson begleitet das Kind, um gemeinsam den Alltag der Kindertagespflegeperson kennenzulernen und den Betreuungsort zu erkunden.</w:t>
      </w:r>
    </w:p>
    <w:p w14:paraId="78416B07" w14:textId="6E8D70A2"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Das Kind bekommt einen Eindruck davon, wie Kinder am Betreuungsort behandelt werden und welche Rolle die Kindertagespflegeperson spielt. </w:t>
      </w:r>
    </w:p>
    <w:p w14:paraId="00B3D4BF" w14:textId="7D5B7414"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Die Kindertagespflegeperson kann während der Kennlernphase beobachten, wie das Kind mit neuen Situationen/ Personen umgeht, wann es müde/ hungrig wird, zu welchen Kindern es Kontakt aufnimmt etc. </w:t>
      </w:r>
    </w:p>
    <w:p w14:paraId="1D981081" w14:textId="449CE0F9" w:rsidR="00643D8B" w:rsidRPr="00BE2215" w:rsidRDefault="00767C0B" w:rsidP="00BE2215">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Aufgabe der Bezugsperson ist es, ihrem Kind die nötige Sicherheit zu geben. </w:t>
      </w:r>
    </w:p>
    <w:p w14:paraId="1834AC69" w14:textId="77777777" w:rsidR="00767C0B" w:rsidRPr="00BE2215" w:rsidRDefault="00767C0B" w:rsidP="00BE2215">
      <w:pPr>
        <w:rPr>
          <w:rFonts w:ascii="Arial" w:hAnsi="Arial" w:cs="Arial"/>
          <w:b/>
          <w:sz w:val="20"/>
          <w:szCs w:val="20"/>
        </w:rPr>
      </w:pPr>
      <w:r w:rsidRPr="00BE2215">
        <w:rPr>
          <w:rFonts w:ascii="Arial" w:hAnsi="Arial" w:cs="Arial"/>
          <w:b/>
          <w:sz w:val="20"/>
          <w:szCs w:val="20"/>
        </w:rPr>
        <w:t>Sicherheitsphase</w:t>
      </w:r>
    </w:p>
    <w:p w14:paraId="6DFC5502" w14:textId="77777777" w:rsidR="00643D8B" w:rsidRPr="00BE2215" w:rsidRDefault="00643D8B" w:rsidP="00643D8B">
      <w:pPr>
        <w:ind w:firstLine="360"/>
        <w:rPr>
          <w:rFonts w:ascii="Arial" w:hAnsi="Arial" w:cs="Arial"/>
          <w:b/>
          <w:sz w:val="20"/>
          <w:szCs w:val="20"/>
        </w:rPr>
      </w:pPr>
    </w:p>
    <w:p w14:paraId="37C6EB95" w14:textId="2BC857A6"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In der zweiten Woche verbringen Bezugsperson und Kind noch immer mehrere Stunden bei der Kindertagespflegeperson.</w:t>
      </w:r>
    </w:p>
    <w:p w14:paraId="6548947F"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Die Kindergruppe am Betreuungsort nimmt eine zentrale Bedeutung ein.</w:t>
      </w:r>
    </w:p>
    <w:p w14:paraId="2C75BABB" w14:textId="056597E0"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Am Modell der anderen Kinder versteht das neue Kind den Alltag am Betreuungsort</w:t>
      </w:r>
      <w:r w:rsidR="00C22C48">
        <w:rPr>
          <w:rFonts w:ascii="Arial" w:hAnsi="Arial" w:cs="Arial"/>
          <w:sz w:val="20"/>
          <w:szCs w:val="20"/>
        </w:rPr>
        <w:t>.</w:t>
      </w:r>
    </w:p>
    <w:p w14:paraId="3B8975AB" w14:textId="722FFDF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Die Kindertagespflegeperson übernimmt erste Aufgaben wie das Wickeln, An- und Ausziehen, unterstützt das Kind beim Essen etc. </w:t>
      </w:r>
    </w:p>
    <w:p w14:paraId="237403E1"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Die Bezugsperson zieht sich langsam zurück und signalisiert ihrem Kind, dass sie mit der Arbeitsteilung einverstanden ist. </w:t>
      </w:r>
    </w:p>
    <w:p w14:paraId="6DBDE4A0" w14:textId="655E6438" w:rsidR="00643D8B" w:rsidRPr="00BE2215" w:rsidRDefault="00767C0B" w:rsidP="00BE2215">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In den ersten beiden Phasen gibt es keinen Trennungsversuch!</w:t>
      </w:r>
    </w:p>
    <w:p w14:paraId="1A716F04" w14:textId="77777777" w:rsidR="00767C0B" w:rsidRPr="00BE2215" w:rsidRDefault="00767C0B" w:rsidP="00BE2215">
      <w:pPr>
        <w:rPr>
          <w:rFonts w:ascii="Arial" w:hAnsi="Arial" w:cs="Arial"/>
          <w:b/>
          <w:sz w:val="20"/>
          <w:szCs w:val="20"/>
        </w:rPr>
      </w:pPr>
      <w:r w:rsidRPr="00BE2215">
        <w:rPr>
          <w:rFonts w:ascii="Arial" w:hAnsi="Arial" w:cs="Arial"/>
          <w:b/>
          <w:sz w:val="20"/>
          <w:szCs w:val="20"/>
        </w:rPr>
        <w:t>Vertrauensphase</w:t>
      </w:r>
    </w:p>
    <w:p w14:paraId="04562983" w14:textId="77777777" w:rsidR="00643D8B" w:rsidRPr="00BE2215" w:rsidRDefault="00643D8B" w:rsidP="00643D8B">
      <w:pPr>
        <w:ind w:firstLine="360"/>
        <w:rPr>
          <w:rFonts w:ascii="Arial" w:hAnsi="Arial" w:cs="Arial"/>
          <w:b/>
          <w:sz w:val="20"/>
          <w:szCs w:val="20"/>
        </w:rPr>
      </w:pPr>
    </w:p>
    <w:p w14:paraId="0CBC9A8A"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In dieser Phase erfolgt der erste Trennungsversuch. </w:t>
      </w:r>
    </w:p>
    <w:p w14:paraId="3A814872"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lastRenderedPageBreak/>
        <w:t>Die Bezugsperson verabschiedet sich für ca. 30-60 Minuten.</w:t>
      </w:r>
    </w:p>
    <w:p w14:paraId="0CC50C9E"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Die Phase und damit die Eingewöhnung ist abgeschlossen, wenn das Kind sich nach der Trennung beruhigt, seine Tätigkeit wiederaufnimmt und in den Kontakt zu den anderen Kindern geht. </w:t>
      </w:r>
    </w:p>
    <w:p w14:paraId="7E81BCA5" w14:textId="77777777" w:rsidR="00767C0B" w:rsidRPr="00BE2215" w:rsidRDefault="00767C0B" w:rsidP="00767C0B">
      <w:pPr>
        <w:rPr>
          <w:rFonts w:ascii="Arial" w:hAnsi="Arial" w:cs="Arial"/>
          <w:sz w:val="20"/>
          <w:szCs w:val="20"/>
        </w:rPr>
      </w:pPr>
    </w:p>
    <w:p w14:paraId="522F0F6F" w14:textId="77777777" w:rsidR="00767C0B" w:rsidRPr="00BE2215" w:rsidRDefault="00767C0B" w:rsidP="00767C0B">
      <w:pPr>
        <w:rPr>
          <w:rFonts w:ascii="Arial" w:hAnsi="Arial" w:cs="Arial"/>
          <w:b/>
          <w:sz w:val="20"/>
          <w:szCs w:val="20"/>
        </w:rPr>
      </w:pPr>
      <w:r w:rsidRPr="00BE2215">
        <w:rPr>
          <w:rFonts w:ascii="Arial" w:hAnsi="Arial" w:cs="Arial"/>
          <w:b/>
          <w:sz w:val="20"/>
          <w:szCs w:val="20"/>
        </w:rPr>
        <w:t>Der Ablauf dieser Phasen ist sehr individuell. Es gibt Kinder, die eine kurze Eingewöhnungszeit brauchen, andere benötigen eine längere Eingewöhnungszeit.</w:t>
      </w:r>
    </w:p>
    <w:p w14:paraId="726FFB26" w14:textId="77777777" w:rsidR="00767C0B" w:rsidRPr="00BE2215" w:rsidRDefault="00767C0B" w:rsidP="00767C0B">
      <w:pPr>
        <w:rPr>
          <w:rFonts w:ascii="Arial" w:hAnsi="Arial" w:cs="Arial"/>
          <w:b/>
          <w:sz w:val="20"/>
          <w:szCs w:val="20"/>
        </w:rPr>
      </w:pPr>
      <w:r w:rsidRPr="00BE2215">
        <w:rPr>
          <w:rFonts w:ascii="Arial" w:hAnsi="Arial" w:cs="Arial"/>
          <w:b/>
          <w:sz w:val="20"/>
          <w:szCs w:val="20"/>
        </w:rPr>
        <w:t xml:space="preserve">Bei Fragen können Sie sich gerne an den Träger wenden. </w:t>
      </w:r>
    </w:p>
    <w:p w14:paraId="72DD0110" w14:textId="77777777" w:rsidR="00816ACF" w:rsidRPr="00BE2215" w:rsidRDefault="00816ACF">
      <w:pPr>
        <w:rPr>
          <w:rFonts w:ascii="Arial" w:hAnsi="Arial" w:cs="Arial"/>
          <w:b/>
          <w:sz w:val="20"/>
          <w:szCs w:val="20"/>
        </w:rPr>
      </w:pPr>
    </w:p>
    <w:sectPr w:rsidR="00816ACF" w:rsidRPr="00BE2215">
      <w:headerReference w:type="even" r:id="rId8"/>
      <w:headerReference w:type="default" r:id="rId9"/>
      <w:footerReference w:type="even" r:id="rId10"/>
      <w:footerReference w:type="default" r:id="rId11"/>
      <w:headerReference w:type="first" r:id="rId12"/>
      <w:footerReference w:type="first" r:id="rId13"/>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3830" w14:textId="77777777" w:rsidR="00354A01" w:rsidRDefault="00354A01">
      <w:r>
        <w:separator/>
      </w:r>
    </w:p>
  </w:endnote>
  <w:endnote w:type="continuationSeparator" w:id="0">
    <w:p w14:paraId="6B4A6C93" w14:textId="77777777" w:rsidR="00354A01" w:rsidRDefault="0035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36C5" w14:textId="77777777" w:rsidR="007619AE" w:rsidRDefault="007619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44085"/>
      <w:docPartObj>
        <w:docPartGallery w:val="Page Numbers (Bottom of Page)"/>
        <w:docPartUnique/>
      </w:docPartObj>
    </w:sdtPr>
    <w:sdtEndPr/>
    <w:sdtContent>
      <w:p w14:paraId="2CEE9EEF" w14:textId="09B9B3CE" w:rsidR="007619AE" w:rsidRDefault="007619AE">
        <w:pPr>
          <w:pStyle w:val="Fuzeile"/>
          <w:jc w:val="center"/>
        </w:pPr>
        <w:r>
          <w:fldChar w:fldCharType="begin"/>
        </w:r>
        <w:r>
          <w:instrText>PAGE   \* MERGEFORMAT</w:instrText>
        </w:r>
        <w:r>
          <w:fldChar w:fldCharType="separate"/>
        </w:r>
        <w:r w:rsidR="0028518E">
          <w:rPr>
            <w:noProof/>
          </w:rPr>
          <w:t>2</w:t>
        </w:r>
        <w:r>
          <w:fldChar w:fldCharType="end"/>
        </w:r>
      </w:p>
    </w:sdtContent>
  </w:sdt>
  <w:p w14:paraId="57543256" w14:textId="77777777" w:rsidR="007619AE" w:rsidRDefault="007619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5982" w14:textId="77777777" w:rsidR="007619AE" w:rsidRDefault="007619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2419" w14:textId="77777777" w:rsidR="00354A01" w:rsidRDefault="00354A01">
      <w:r>
        <w:separator/>
      </w:r>
    </w:p>
  </w:footnote>
  <w:footnote w:type="continuationSeparator" w:id="0">
    <w:p w14:paraId="67FC598F" w14:textId="77777777" w:rsidR="00354A01" w:rsidRDefault="0035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1985" w14:textId="07FD6687" w:rsidR="009A784E" w:rsidRDefault="009A7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B4E4" w14:textId="1F52EF7C" w:rsidR="00775956" w:rsidRDefault="00775956">
    <w:pPr>
      <w:pStyle w:val="Kopfzeile"/>
    </w:pPr>
    <w:r w:rsidRPr="00E56F37">
      <w:rPr>
        <w:noProof/>
        <w:color w:val="7F7F7F" w:themeColor="text1" w:themeTint="80"/>
        <w:lang w:eastAsia="de-DE"/>
      </w:rPr>
      <w:drawing>
        <wp:anchor distT="0" distB="0" distL="0" distR="0" simplePos="0" relativeHeight="3" behindDoc="1" locked="0" layoutInCell="0" allowOverlap="1" wp14:anchorId="579CE80D" wp14:editId="347D389E">
          <wp:simplePos x="0" y="0"/>
          <wp:positionH relativeFrom="page">
            <wp:align>right</wp:align>
          </wp:positionH>
          <wp:positionV relativeFrom="page">
            <wp:align>top</wp:align>
          </wp:positionV>
          <wp:extent cx="7557135" cy="10694298"/>
          <wp:effectExtent l="0" t="0" r="5715" b="0"/>
          <wp:wrapNone/>
          <wp:docPr id="3"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E56F37">
      <w:rPr>
        <w:color w:val="7F7F7F" w:themeColor="text1" w:themeTint="80"/>
      </w:rPr>
      <w:t>Vertragsmuster zur Verfügung gestellt vom Jugendamt Dortmund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731F" w14:textId="60D289CD" w:rsidR="009A784E" w:rsidRDefault="009A7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D62652B"/>
    <w:multiLevelType w:val="hybridMultilevel"/>
    <w:tmpl w:val="0144F2C4"/>
    <w:lvl w:ilvl="0" w:tplc="CF72C97A">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63B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877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4AA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43A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503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674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0A0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CFA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F46B8F"/>
    <w:multiLevelType w:val="hybridMultilevel"/>
    <w:tmpl w:val="4F8AE22A"/>
    <w:lvl w:ilvl="0" w:tplc="F5D226D2">
      <w:start w:val="7"/>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826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85E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C9F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4F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346B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6440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C0D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045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A50E18"/>
    <w:multiLevelType w:val="hybridMultilevel"/>
    <w:tmpl w:val="6BA659A8"/>
    <w:lvl w:ilvl="0" w:tplc="DA36F2B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9001E"/>
    <w:multiLevelType w:val="hybridMultilevel"/>
    <w:tmpl w:val="79B8ED48"/>
    <w:lvl w:ilvl="0" w:tplc="88B612BA">
      <w:start w:val="1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6DE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CDD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29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2E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4A2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27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869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0ED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B0768B"/>
    <w:multiLevelType w:val="hybridMultilevel"/>
    <w:tmpl w:val="F1DE91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219494F"/>
    <w:multiLevelType w:val="hybridMultilevel"/>
    <w:tmpl w:val="4B4858A2"/>
    <w:lvl w:ilvl="0" w:tplc="E0D04C42">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845804"/>
    <w:multiLevelType w:val="hybridMultilevel"/>
    <w:tmpl w:val="E95AE5D8"/>
    <w:lvl w:ilvl="0" w:tplc="54883FF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F81522"/>
    <w:multiLevelType w:val="hybridMultilevel"/>
    <w:tmpl w:val="94BA4FF2"/>
    <w:lvl w:ilvl="0" w:tplc="E0D04C42">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25"/>
  </w:num>
  <w:num w:numId="6">
    <w:abstractNumId w:val="0"/>
  </w:num>
  <w:num w:numId="7">
    <w:abstractNumId w:val="1"/>
  </w:num>
  <w:num w:numId="8">
    <w:abstractNumId w:val="9"/>
  </w:num>
  <w:num w:numId="9">
    <w:abstractNumId w:val="10"/>
  </w:num>
  <w:num w:numId="10">
    <w:abstractNumId w:val="4"/>
  </w:num>
  <w:num w:numId="11">
    <w:abstractNumId w:val="3"/>
  </w:num>
  <w:num w:numId="12">
    <w:abstractNumId w:val="7"/>
  </w:num>
  <w:num w:numId="13">
    <w:abstractNumId w:val="15"/>
  </w:num>
  <w:num w:numId="14">
    <w:abstractNumId w:val="2"/>
  </w:num>
  <w:num w:numId="15">
    <w:abstractNumId w:val="20"/>
  </w:num>
  <w:num w:numId="16">
    <w:abstractNumId w:val="17"/>
  </w:num>
  <w:num w:numId="17">
    <w:abstractNumId w:val="19"/>
  </w:num>
  <w:num w:numId="18">
    <w:abstractNumId w:val="21"/>
  </w:num>
  <w:num w:numId="19">
    <w:abstractNumId w:val="16"/>
  </w:num>
  <w:num w:numId="20">
    <w:abstractNumId w:val="18"/>
  </w:num>
  <w:num w:numId="21">
    <w:abstractNumId w:val="24"/>
  </w:num>
  <w:num w:numId="22">
    <w:abstractNumId w:val="22"/>
  </w:num>
  <w:num w:numId="23">
    <w:abstractNumId w:val="26"/>
  </w:num>
  <w:num w:numId="24">
    <w:abstractNumId w:val="5"/>
  </w:num>
  <w:num w:numId="25">
    <w:abstractNumId w:val="8"/>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eBvtuOnVaHVtIIk7pFdsq5/SViuB96XIdpkMFAxA1eovLQYMpFQEx1BqNTsr3N5mI5d6xm59qiBf4HWzJKslXw==" w:salt="vKZazfEBDfiIZUPgq2xNQ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219FB"/>
    <w:rsid w:val="000C0605"/>
    <w:rsid w:val="000F452D"/>
    <w:rsid w:val="001A03EA"/>
    <w:rsid w:val="001D22D3"/>
    <w:rsid w:val="001E0341"/>
    <w:rsid w:val="00217830"/>
    <w:rsid w:val="00231A80"/>
    <w:rsid w:val="0028518E"/>
    <w:rsid w:val="002927DC"/>
    <w:rsid w:val="002C2A6F"/>
    <w:rsid w:val="003411A1"/>
    <w:rsid w:val="00354A01"/>
    <w:rsid w:val="004028EE"/>
    <w:rsid w:val="00412CE4"/>
    <w:rsid w:val="00426B43"/>
    <w:rsid w:val="0043466A"/>
    <w:rsid w:val="004762CD"/>
    <w:rsid w:val="0049265A"/>
    <w:rsid w:val="004C5595"/>
    <w:rsid w:val="00504059"/>
    <w:rsid w:val="005E2F14"/>
    <w:rsid w:val="00602F3D"/>
    <w:rsid w:val="006077C0"/>
    <w:rsid w:val="00643D8B"/>
    <w:rsid w:val="00645FD3"/>
    <w:rsid w:val="00650214"/>
    <w:rsid w:val="00682812"/>
    <w:rsid w:val="00695935"/>
    <w:rsid w:val="006B39BF"/>
    <w:rsid w:val="006D3338"/>
    <w:rsid w:val="006F0919"/>
    <w:rsid w:val="0071408A"/>
    <w:rsid w:val="00725D67"/>
    <w:rsid w:val="0075511E"/>
    <w:rsid w:val="007619AE"/>
    <w:rsid w:val="00767C0B"/>
    <w:rsid w:val="00775956"/>
    <w:rsid w:val="00785566"/>
    <w:rsid w:val="007E452F"/>
    <w:rsid w:val="00816ACF"/>
    <w:rsid w:val="008215B3"/>
    <w:rsid w:val="0083455F"/>
    <w:rsid w:val="00834F0B"/>
    <w:rsid w:val="0088655B"/>
    <w:rsid w:val="008D564B"/>
    <w:rsid w:val="008F6F7B"/>
    <w:rsid w:val="009009BD"/>
    <w:rsid w:val="00905944"/>
    <w:rsid w:val="00945D1E"/>
    <w:rsid w:val="009A784E"/>
    <w:rsid w:val="009B5333"/>
    <w:rsid w:val="009C49B0"/>
    <w:rsid w:val="009C7B25"/>
    <w:rsid w:val="00A03B5F"/>
    <w:rsid w:val="00A96C6E"/>
    <w:rsid w:val="00AC63C9"/>
    <w:rsid w:val="00B11592"/>
    <w:rsid w:val="00B64DF9"/>
    <w:rsid w:val="00B746D8"/>
    <w:rsid w:val="00B867D9"/>
    <w:rsid w:val="00BA0F1D"/>
    <w:rsid w:val="00BC7FFB"/>
    <w:rsid w:val="00BE2215"/>
    <w:rsid w:val="00BE2946"/>
    <w:rsid w:val="00C22C48"/>
    <w:rsid w:val="00C334D0"/>
    <w:rsid w:val="00C70403"/>
    <w:rsid w:val="00C775D6"/>
    <w:rsid w:val="00C87419"/>
    <w:rsid w:val="00CB55F2"/>
    <w:rsid w:val="00CD1751"/>
    <w:rsid w:val="00CD2460"/>
    <w:rsid w:val="00CE715E"/>
    <w:rsid w:val="00D8388B"/>
    <w:rsid w:val="00D92CAD"/>
    <w:rsid w:val="00DD0BAF"/>
    <w:rsid w:val="00DD3CF6"/>
    <w:rsid w:val="00E06894"/>
    <w:rsid w:val="00E1614A"/>
    <w:rsid w:val="00E3319C"/>
    <w:rsid w:val="00E56F37"/>
    <w:rsid w:val="00ED18BF"/>
    <w:rsid w:val="00ED56CF"/>
    <w:rsid w:val="00F069F4"/>
    <w:rsid w:val="00F30E4B"/>
    <w:rsid w:val="00FC70A5"/>
    <w:rsid w:val="00FF17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6894"/>
  </w:style>
  <w:style w:type="paragraph" w:styleId="berschrift1">
    <w:name w:val="heading 1"/>
    <w:next w:val="Standard"/>
    <w:link w:val="berschrift1Zchn"/>
    <w:uiPriority w:val="9"/>
    <w:unhideWhenUsed/>
    <w:qFormat/>
    <w:rsid w:val="00816ACF"/>
    <w:pPr>
      <w:keepNext/>
      <w:keepLines/>
      <w:suppressAutoHyphens w:val="0"/>
      <w:spacing w:after="164" w:line="259" w:lineRule="auto"/>
      <w:ind w:left="10" w:hanging="10"/>
      <w:outlineLvl w:val="0"/>
    </w:pPr>
    <w:rPr>
      <w:rFonts w:ascii="Calibri" w:eastAsia="Calibri" w:hAnsi="Calibri" w:cs="Calibri"/>
      <w:b/>
      <w:color w:val="000000"/>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semiHidden/>
    <w:unhideWhenUsed/>
    <w:rsid w:val="00BA0F1D"/>
    <w:rPr>
      <w:sz w:val="20"/>
      <w:szCs w:val="20"/>
    </w:rPr>
  </w:style>
  <w:style w:type="character" w:customStyle="1" w:styleId="KommentartextZchn">
    <w:name w:val="Kommentartext Zchn"/>
    <w:basedOn w:val="Absatz-Standardschriftart"/>
    <w:link w:val="Kommentartext"/>
    <w:uiPriority w:val="99"/>
    <w:semiHidden/>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C5595"/>
    <w:pPr>
      <w:suppressAutoHyphens w:val="0"/>
    </w:pPr>
    <w:rPr>
      <w:rFonts w:eastAsiaTheme="minorEastAsia"/>
      <w:sz w:val="22"/>
      <w:szCs w:val="22"/>
      <w:lang w:eastAsia="de-DE"/>
    </w:rPr>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816ACF"/>
    <w:rPr>
      <w:rFonts w:ascii="Calibri" w:eastAsia="Calibri" w:hAnsi="Calibri" w:cs="Calibri"/>
      <w:b/>
      <w:color w:val="00000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6C4E-3F9A-4FC8-9AFB-19418013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Andrea Stopperich</cp:lastModifiedBy>
  <cp:revision>2</cp:revision>
  <cp:lastPrinted>2022-11-25T10:43:00Z</cp:lastPrinted>
  <dcterms:created xsi:type="dcterms:W3CDTF">2024-05-13T09:44:00Z</dcterms:created>
  <dcterms:modified xsi:type="dcterms:W3CDTF">2024-05-13T09:44:00Z</dcterms:modified>
  <dc:language>de-DE</dc:language>
</cp:coreProperties>
</file>